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C2" w:rsidRDefault="009417C2" w:rsidP="009417C2">
      <w:pPr>
        <w:rPr>
          <w:sz w:val="40"/>
          <w:szCs w:val="40"/>
        </w:rPr>
      </w:pPr>
      <w:bookmarkStart w:id="0" w:name="_GoBack"/>
      <w:bookmarkEnd w:id="0"/>
      <w:r>
        <w:rPr>
          <w:sz w:val="40"/>
          <w:szCs w:val="40"/>
        </w:rPr>
        <w:t>Memorandum</w:t>
      </w:r>
    </w:p>
    <w:p w:rsidR="009417C2" w:rsidRPr="009417C2" w:rsidRDefault="009417C2" w:rsidP="009417C2">
      <w:pPr>
        <w:rPr>
          <w:sz w:val="40"/>
          <w:szCs w:val="40"/>
        </w:rPr>
      </w:pPr>
      <w:r>
        <w:rPr>
          <w:sz w:val="40"/>
          <w:szCs w:val="40"/>
        </w:rPr>
        <w:t>___________________________________________</w:t>
      </w:r>
    </w:p>
    <w:p w:rsidR="009417C2" w:rsidRDefault="009417C2" w:rsidP="009417C2">
      <w:r>
        <w:t>Date:</w:t>
      </w:r>
    </w:p>
    <w:p w:rsidR="009417C2" w:rsidRDefault="009417C2" w:rsidP="009417C2">
      <w:r>
        <w:tab/>
        <w:t xml:space="preserve">   October 30, 2013</w:t>
      </w:r>
    </w:p>
    <w:p w:rsidR="009417C2" w:rsidRDefault="009417C2" w:rsidP="009417C2"/>
    <w:p w:rsidR="009417C2" w:rsidRDefault="009417C2" w:rsidP="009417C2">
      <w:r>
        <w:t>Attention:</w:t>
      </w:r>
    </w:p>
    <w:p w:rsidR="009417C2" w:rsidRDefault="009417C2" w:rsidP="009417C2">
      <w:pPr>
        <w:ind w:left="720"/>
      </w:pPr>
      <w:r>
        <w:t xml:space="preserve">   Caledonia Community Schools</w:t>
      </w:r>
    </w:p>
    <w:p w:rsidR="009417C2" w:rsidRDefault="009417C2" w:rsidP="009417C2">
      <w:pPr>
        <w:ind w:firstLine="720"/>
      </w:pPr>
      <w:r>
        <w:t xml:space="preserve">   Students, Parents and/or Guardians</w:t>
      </w:r>
    </w:p>
    <w:p w:rsidR="009417C2" w:rsidRDefault="009417C2" w:rsidP="009417C2">
      <w:pPr>
        <w:ind w:firstLine="720"/>
      </w:pPr>
      <w:r>
        <w:t xml:space="preserve">   Administration and Personnel</w:t>
      </w:r>
    </w:p>
    <w:p w:rsidR="009417C2" w:rsidRDefault="009417C2" w:rsidP="009417C2"/>
    <w:p w:rsidR="009417C2" w:rsidRDefault="009417C2" w:rsidP="009417C2">
      <w:r>
        <w:t>From:</w:t>
      </w:r>
    </w:p>
    <w:tbl>
      <w:tblPr>
        <w:tblW w:w="0" w:type="auto"/>
        <w:tblLayout w:type="fixed"/>
        <w:tblLook w:val="0000" w:firstRow="0" w:lastRow="0" w:firstColumn="0" w:lastColumn="0" w:noHBand="0" w:noVBand="0"/>
      </w:tblPr>
      <w:tblGrid>
        <w:gridCol w:w="1007"/>
        <w:gridCol w:w="7380"/>
        <w:gridCol w:w="974"/>
      </w:tblGrid>
      <w:tr w:rsidR="009417C2" w:rsidTr="009D195C">
        <w:tc>
          <w:tcPr>
            <w:tcW w:w="1007" w:type="dxa"/>
            <w:shd w:val="clear" w:color="auto" w:fill="auto"/>
          </w:tcPr>
          <w:p w:rsidR="009417C2" w:rsidRDefault="009417C2" w:rsidP="009D195C">
            <w:pPr>
              <w:tabs>
                <w:tab w:val="decimal" w:pos="1008"/>
                <w:tab w:val="left" w:pos="1728"/>
                <w:tab w:val="left" w:pos="2448"/>
                <w:tab w:val="left" w:pos="3168"/>
                <w:tab w:val="left" w:pos="3888"/>
                <w:tab w:val="left" w:pos="4158"/>
                <w:tab w:val="left" w:pos="4608"/>
              </w:tabs>
            </w:pPr>
          </w:p>
        </w:tc>
        <w:tc>
          <w:tcPr>
            <w:tcW w:w="7380" w:type="dxa"/>
            <w:shd w:val="clear" w:color="auto" w:fill="auto"/>
          </w:tcPr>
          <w:p w:rsidR="009417C2" w:rsidRPr="009417C2" w:rsidRDefault="009417C2" w:rsidP="009D195C">
            <w:pPr>
              <w:tabs>
                <w:tab w:val="decimal" w:pos="1008"/>
                <w:tab w:val="left" w:pos="1728"/>
                <w:tab w:val="left" w:pos="2448"/>
                <w:tab w:val="left" w:pos="3168"/>
                <w:tab w:val="left" w:pos="3888"/>
                <w:tab w:val="left" w:pos="4158"/>
                <w:tab w:val="left" w:pos="4608"/>
              </w:tabs>
              <w:jc w:val="left"/>
            </w:pPr>
            <w:proofErr w:type="spellStart"/>
            <w:r w:rsidRPr="009417C2">
              <w:t>Alissa</w:t>
            </w:r>
            <w:proofErr w:type="spellEnd"/>
            <w:r w:rsidRPr="009417C2">
              <w:t xml:space="preserve"> Hofstee</w:t>
            </w:r>
            <w:r>
              <w:t>, District Compliance Officer</w:t>
            </w:r>
          </w:p>
        </w:tc>
        <w:tc>
          <w:tcPr>
            <w:tcW w:w="974" w:type="dxa"/>
            <w:shd w:val="clear" w:color="auto" w:fill="auto"/>
          </w:tcPr>
          <w:p w:rsidR="009417C2" w:rsidRDefault="009417C2" w:rsidP="009D195C">
            <w:pPr>
              <w:tabs>
                <w:tab w:val="decimal" w:pos="1008"/>
                <w:tab w:val="left" w:pos="1728"/>
                <w:tab w:val="left" w:pos="2448"/>
                <w:tab w:val="left" w:pos="3168"/>
                <w:tab w:val="left" w:pos="3888"/>
                <w:tab w:val="left" w:pos="4158"/>
                <w:tab w:val="left" w:pos="4608"/>
              </w:tabs>
            </w:pPr>
          </w:p>
        </w:tc>
      </w:tr>
      <w:tr w:rsidR="009417C2" w:rsidTr="009D195C">
        <w:tc>
          <w:tcPr>
            <w:tcW w:w="1007" w:type="dxa"/>
            <w:shd w:val="clear" w:color="auto" w:fill="auto"/>
          </w:tcPr>
          <w:p w:rsidR="009417C2" w:rsidRDefault="009417C2" w:rsidP="009D195C">
            <w:pPr>
              <w:tabs>
                <w:tab w:val="decimal" w:pos="1008"/>
                <w:tab w:val="left" w:pos="1728"/>
                <w:tab w:val="left" w:pos="2448"/>
                <w:tab w:val="left" w:pos="3168"/>
                <w:tab w:val="left" w:pos="3888"/>
                <w:tab w:val="left" w:pos="4158"/>
                <w:tab w:val="left" w:pos="4608"/>
              </w:tabs>
            </w:pPr>
          </w:p>
        </w:tc>
        <w:tc>
          <w:tcPr>
            <w:tcW w:w="7380" w:type="dxa"/>
            <w:shd w:val="clear" w:color="auto" w:fill="auto"/>
          </w:tcPr>
          <w:p w:rsidR="009417C2" w:rsidRPr="009417C2" w:rsidRDefault="009417C2" w:rsidP="009D195C">
            <w:pPr>
              <w:tabs>
                <w:tab w:val="decimal" w:pos="1008"/>
                <w:tab w:val="left" w:pos="1728"/>
                <w:tab w:val="left" w:pos="2448"/>
                <w:tab w:val="left" w:pos="3168"/>
                <w:tab w:val="left" w:pos="3888"/>
                <w:tab w:val="left" w:pos="4158"/>
                <w:tab w:val="left" w:pos="4608"/>
              </w:tabs>
              <w:jc w:val="left"/>
            </w:pPr>
            <w:r w:rsidRPr="009417C2">
              <w:t>9755 Duncan Lake Ave,</w:t>
            </w:r>
          </w:p>
          <w:p w:rsidR="009417C2" w:rsidRPr="009417C2" w:rsidRDefault="009417C2" w:rsidP="009D195C">
            <w:pPr>
              <w:tabs>
                <w:tab w:val="decimal" w:pos="1008"/>
                <w:tab w:val="left" w:pos="1728"/>
                <w:tab w:val="left" w:pos="2448"/>
                <w:tab w:val="left" w:pos="3168"/>
                <w:tab w:val="left" w:pos="3888"/>
                <w:tab w:val="left" w:pos="4158"/>
                <w:tab w:val="left" w:pos="4608"/>
              </w:tabs>
              <w:jc w:val="left"/>
            </w:pPr>
            <w:r w:rsidRPr="009417C2">
              <w:t>Caledonia, MI  49316</w:t>
            </w:r>
          </w:p>
        </w:tc>
        <w:tc>
          <w:tcPr>
            <w:tcW w:w="974" w:type="dxa"/>
            <w:shd w:val="clear" w:color="auto" w:fill="auto"/>
          </w:tcPr>
          <w:p w:rsidR="009417C2" w:rsidRDefault="009417C2" w:rsidP="009D195C">
            <w:pPr>
              <w:tabs>
                <w:tab w:val="decimal" w:pos="1008"/>
                <w:tab w:val="left" w:pos="1728"/>
                <w:tab w:val="left" w:pos="2448"/>
                <w:tab w:val="left" w:pos="3168"/>
                <w:tab w:val="left" w:pos="3888"/>
                <w:tab w:val="left" w:pos="4158"/>
                <w:tab w:val="left" w:pos="4608"/>
              </w:tabs>
            </w:pPr>
          </w:p>
        </w:tc>
      </w:tr>
      <w:tr w:rsidR="009417C2" w:rsidTr="009D195C">
        <w:tc>
          <w:tcPr>
            <w:tcW w:w="1007" w:type="dxa"/>
            <w:shd w:val="clear" w:color="auto" w:fill="auto"/>
          </w:tcPr>
          <w:p w:rsidR="009417C2" w:rsidRDefault="009417C2" w:rsidP="009D195C">
            <w:pPr>
              <w:tabs>
                <w:tab w:val="decimal" w:pos="1008"/>
                <w:tab w:val="left" w:pos="1728"/>
                <w:tab w:val="left" w:pos="2448"/>
                <w:tab w:val="left" w:pos="3168"/>
                <w:tab w:val="left" w:pos="3888"/>
                <w:tab w:val="left" w:pos="4158"/>
                <w:tab w:val="left" w:pos="4608"/>
              </w:tabs>
            </w:pPr>
          </w:p>
        </w:tc>
        <w:tc>
          <w:tcPr>
            <w:tcW w:w="7380" w:type="dxa"/>
            <w:shd w:val="clear" w:color="auto" w:fill="auto"/>
          </w:tcPr>
          <w:p w:rsidR="009417C2" w:rsidRPr="009417C2" w:rsidRDefault="009417C2" w:rsidP="009D195C">
            <w:pPr>
              <w:tabs>
                <w:tab w:val="decimal" w:pos="1008"/>
                <w:tab w:val="left" w:pos="1728"/>
                <w:tab w:val="left" w:pos="2448"/>
                <w:tab w:val="left" w:pos="3168"/>
                <w:tab w:val="left" w:pos="3888"/>
                <w:tab w:val="left" w:pos="4158"/>
                <w:tab w:val="left" w:pos="4608"/>
              </w:tabs>
              <w:jc w:val="left"/>
            </w:pPr>
            <w:r w:rsidRPr="009417C2">
              <w:t>616-891-8185</w:t>
            </w:r>
          </w:p>
        </w:tc>
        <w:tc>
          <w:tcPr>
            <w:tcW w:w="974" w:type="dxa"/>
            <w:shd w:val="clear" w:color="auto" w:fill="auto"/>
          </w:tcPr>
          <w:p w:rsidR="009417C2" w:rsidRDefault="009417C2" w:rsidP="009D195C">
            <w:pPr>
              <w:tabs>
                <w:tab w:val="decimal" w:pos="1008"/>
                <w:tab w:val="left" w:pos="1728"/>
                <w:tab w:val="left" w:pos="2448"/>
                <w:tab w:val="left" w:pos="3168"/>
                <w:tab w:val="left" w:pos="3888"/>
                <w:tab w:val="left" w:pos="4158"/>
                <w:tab w:val="left" w:pos="4608"/>
              </w:tabs>
            </w:pPr>
          </w:p>
        </w:tc>
      </w:tr>
      <w:tr w:rsidR="009417C2" w:rsidTr="009D195C">
        <w:tc>
          <w:tcPr>
            <w:tcW w:w="1007" w:type="dxa"/>
            <w:shd w:val="clear" w:color="auto" w:fill="auto"/>
          </w:tcPr>
          <w:p w:rsidR="009417C2" w:rsidRDefault="009417C2" w:rsidP="009D195C">
            <w:pPr>
              <w:tabs>
                <w:tab w:val="decimal" w:pos="1008"/>
                <w:tab w:val="left" w:pos="1728"/>
                <w:tab w:val="left" w:pos="2448"/>
                <w:tab w:val="left" w:pos="3168"/>
                <w:tab w:val="left" w:pos="3888"/>
                <w:tab w:val="left" w:pos="4158"/>
                <w:tab w:val="left" w:pos="4608"/>
              </w:tabs>
            </w:pPr>
          </w:p>
        </w:tc>
        <w:tc>
          <w:tcPr>
            <w:tcW w:w="7380" w:type="dxa"/>
            <w:shd w:val="clear" w:color="auto" w:fill="auto"/>
          </w:tcPr>
          <w:p w:rsidR="009417C2" w:rsidRPr="009417C2" w:rsidRDefault="009417C2" w:rsidP="009D195C">
            <w:pPr>
              <w:tabs>
                <w:tab w:val="decimal" w:pos="1008"/>
                <w:tab w:val="left" w:pos="1728"/>
                <w:tab w:val="left" w:pos="2448"/>
                <w:tab w:val="left" w:pos="3168"/>
                <w:tab w:val="left" w:pos="3888"/>
                <w:tab w:val="left" w:pos="4158"/>
                <w:tab w:val="left" w:pos="4608"/>
              </w:tabs>
              <w:jc w:val="left"/>
            </w:pPr>
            <w:r w:rsidRPr="009417C2">
              <w:t>hofsteea@calschools.org</w:t>
            </w:r>
          </w:p>
        </w:tc>
        <w:tc>
          <w:tcPr>
            <w:tcW w:w="974" w:type="dxa"/>
            <w:shd w:val="clear" w:color="auto" w:fill="auto"/>
          </w:tcPr>
          <w:p w:rsidR="009417C2" w:rsidRDefault="009417C2" w:rsidP="009D195C">
            <w:pPr>
              <w:tabs>
                <w:tab w:val="decimal" w:pos="1008"/>
                <w:tab w:val="left" w:pos="1728"/>
                <w:tab w:val="left" w:pos="2448"/>
                <w:tab w:val="left" w:pos="3168"/>
                <w:tab w:val="left" w:pos="3888"/>
                <w:tab w:val="left" w:pos="4158"/>
                <w:tab w:val="left" w:pos="4608"/>
              </w:tabs>
            </w:pPr>
          </w:p>
        </w:tc>
      </w:tr>
    </w:tbl>
    <w:p w:rsidR="009417C2" w:rsidRDefault="009417C2" w:rsidP="009417C2"/>
    <w:p w:rsidR="009417C2" w:rsidRDefault="009417C2" w:rsidP="009417C2">
      <w:r>
        <w:t>At any time, if a student or parent believes that s/he has been subjected to discrimination based upon his/her disability in violation of Section 504 or the Americans with Disabilities Act of 1990, as amended ("ADA"), the individual may file a complaint with the U.S. Department of Education's Office for Civil Rights ("OCR").  The OCR can be reached at:</w:t>
      </w:r>
    </w:p>
    <w:p w:rsidR="009417C2" w:rsidRDefault="009417C2" w:rsidP="009417C2"/>
    <w:tbl>
      <w:tblPr>
        <w:tblW w:w="0" w:type="auto"/>
        <w:tblLayout w:type="fixed"/>
        <w:tblLook w:val="0000" w:firstRow="0" w:lastRow="0" w:firstColumn="0" w:lastColumn="0" w:noHBand="0" w:noVBand="0"/>
      </w:tblPr>
      <w:tblGrid>
        <w:gridCol w:w="2447"/>
        <w:gridCol w:w="4230"/>
        <w:gridCol w:w="2683"/>
      </w:tblGrid>
      <w:tr w:rsidR="009417C2" w:rsidTr="009D195C">
        <w:trPr>
          <w:cantSplit/>
        </w:trPr>
        <w:tc>
          <w:tcPr>
            <w:tcW w:w="2447" w:type="dxa"/>
            <w:shd w:val="clear" w:color="auto" w:fill="auto"/>
          </w:tcPr>
          <w:p w:rsidR="009417C2" w:rsidRDefault="009417C2" w:rsidP="009D195C"/>
        </w:tc>
        <w:tc>
          <w:tcPr>
            <w:tcW w:w="4230" w:type="dxa"/>
            <w:vMerge w:val="restart"/>
            <w:shd w:val="clear" w:color="auto" w:fill="auto"/>
          </w:tcPr>
          <w:p w:rsidR="009417C2" w:rsidRDefault="009417C2" w:rsidP="009D195C">
            <w:pPr>
              <w:pStyle w:val="Level1List"/>
              <w:tabs>
                <w:tab w:val="clear" w:pos="1728"/>
              </w:tabs>
              <w:ind w:left="-108" w:firstLine="0"/>
              <w:rPr>
                <w:color w:val="00000A"/>
              </w:rPr>
            </w:pPr>
            <w:r>
              <w:rPr>
                <w:color w:val="00000A"/>
              </w:rPr>
              <w:t>U.S. Department of Education</w:t>
            </w:r>
            <w:r>
              <w:rPr>
                <w:color w:val="00000A"/>
              </w:rPr>
              <w:br/>
              <w:t>Office for Civil Rights</w:t>
            </w:r>
            <w:r>
              <w:rPr>
                <w:color w:val="00000A"/>
              </w:rPr>
              <w:br/>
              <w:t>Cleveland Office</w:t>
            </w:r>
            <w:r>
              <w:rPr>
                <w:color w:val="00000A"/>
              </w:rPr>
              <w:br/>
              <w:t>600 Superior Ave. East, Suite 750</w:t>
            </w:r>
            <w:r>
              <w:rPr>
                <w:color w:val="00000A"/>
              </w:rPr>
              <w:br/>
              <w:t>Cleveland, </w:t>
            </w:r>
            <w:proofErr w:type="gramStart"/>
            <w:r>
              <w:rPr>
                <w:color w:val="00000A"/>
              </w:rPr>
              <w:t>Ohio  44114</w:t>
            </w:r>
            <w:proofErr w:type="gramEnd"/>
            <w:r>
              <w:rPr>
                <w:color w:val="00000A"/>
              </w:rPr>
              <w:t>-2611</w:t>
            </w:r>
            <w:r>
              <w:rPr>
                <w:color w:val="00000A"/>
              </w:rPr>
              <w:br/>
              <w:t>(216) 522-4970</w:t>
            </w:r>
            <w:r>
              <w:rPr>
                <w:color w:val="00000A"/>
              </w:rPr>
              <w:br/>
              <w:t>FAX:  (216) 522-2573</w:t>
            </w:r>
            <w:r>
              <w:rPr>
                <w:color w:val="00000A"/>
              </w:rPr>
              <w:br/>
              <w:t>TDD:  (216) 522-4944</w:t>
            </w:r>
            <w:r>
              <w:rPr>
                <w:color w:val="00000A"/>
              </w:rPr>
              <w:br/>
              <w:t>E-mail:  OCR.Cleveland@ed.gov</w:t>
            </w:r>
            <w:r>
              <w:rPr>
                <w:color w:val="00000A"/>
              </w:rPr>
              <w:br/>
              <w:t>Web:  http://www.ed.gov/ocr</w:t>
            </w: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rPr>
                <w:b/>
                <w:i/>
                <w:color w:val="0000FF"/>
              </w:rPr>
            </w:pP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rPr>
                <w:b/>
                <w:i/>
                <w:color w:val="0000FF"/>
              </w:rPr>
            </w:pP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rPr>
                <w:b/>
                <w:i/>
                <w:color w:val="0000FF"/>
              </w:rPr>
            </w:pP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rPr>
                <w:b/>
                <w:i/>
                <w:color w:val="0000FF"/>
              </w:rPr>
            </w:pP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rPr>
                <w:b/>
                <w:i/>
                <w:color w:val="0000FF"/>
              </w:rPr>
            </w:pP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rPr>
                <w:b/>
                <w:i/>
                <w:color w:val="0000FF"/>
              </w:rPr>
            </w:pP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rPr>
                <w:b/>
                <w:i/>
                <w:color w:val="0000FF"/>
              </w:rPr>
            </w:pP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rPr>
                <w:b/>
                <w:i/>
                <w:color w:val="0000FF"/>
              </w:rPr>
            </w:pPr>
          </w:p>
        </w:tc>
        <w:tc>
          <w:tcPr>
            <w:tcW w:w="2683" w:type="dxa"/>
            <w:shd w:val="clear" w:color="auto" w:fill="auto"/>
          </w:tcPr>
          <w:p w:rsidR="009417C2" w:rsidRDefault="009417C2" w:rsidP="009D195C"/>
        </w:tc>
      </w:tr>
      <w:tr w:rsidR="009417C2" w:rsidTr="009D195C">
        <w:trPr>
          <w:cantSplit/>
        </w:trPr>
        <w:tc>
          <w:tcPr>
            <w:tcW w:w="2447" w:type="dxa"/>
            <w:shd w:val="clear" w:color="auto" w:fill="auto"/>
          </w:tcPr>
          <w:p w:rsidR="009417C2" w:rsidRDefault="009417C2" w:rsidP="009D195C"/>
        </w:tc>
        <w:tc>
          <w:tcPr>
            <w:tcW w:w="4230" w:type="dxa"/>
            <w:vMerge/>
            <w:shd w:val="clear" w:color="auto" w:fill="auto"/>
          </w:tcPr>
          <w:p w:rsidR="009417C2" w:rsidRDefault="009417C2" w:rsidP="009D195C">
            <w:pPr>
              <w:pStyle w:val="Level1List"/>
              <w:ind w:left="0" w:firstLine="0"/>
              <w:rPr>
                <w:b/>
                <w:i/>
                <w:color w:val="0000FF"/>
              </w:rPr>
            </w:pPr>
          </w:p>
        </w:tc>
        <w:tc>
          <w:tcPr>
            <w:tcW w:w="2683" w:type="dxa"/>
            <w:shd w:val="clear" w:color="auto" w:fill="auto"/>
          </w:tcPr>
          <w:p w:rsidR="009417C2" w:rsidRDefault="009417C2" w:rsidP="009D195C"/>
        </w:tc>
      </w:tr>
    </w:tbl>
    <w:p w:rsidR="009417C2" w:rsidRDefault="009417C2" w:rsidP="009417C2"/>
    <w:p w:rsidR="009417C2" w:rsidRDefault="009417C2" w:rsidP="009417C2">
      <w:pPr>
        <w:jc w:val="left"/>
        <w:rPr>
          <w:u w:val="single"/>
        </w:rPr>
      </w:pPr>
      <w:r>
        <w:t>Except in extraordinary circumstances, the OCR does not review the result of individual placement and other educational decisions, so long as the District complies with the "process" requirements of Subpart D of Section 504.</w:t>
      </w:r>
      <w:r>
        <w:br/>
      </w:r>
      <w:r>
        <w:br/>
      </w:r>
      <w:r>
        <w:rPr>
          <w:u w:val="single"/>
        </w:rPr>
        <w:t>Prohibition Against Retaliation</w:t>
      </w:r>
    </w:p>
    <w:p w:rsidR="009417C2" w:rsidRDefault="009417C2" w:rsidP="009417C2"/>
    <w:p w:rsidR="009417C2" w:rsidRDefault="009417C2" w:rsidP="009417C2">
      <w:r>
        <w:t>The Board will not discriminate against, coerce, intimidate, threaten or interfere with any individual because the person opposed any act or practice made unlawful by Section 504 or the ADA, or because that individual made a charge, testified, assisted or participated in any manner in an investigation, proceeding, or hearing under Section 504 or the ADA, or because that individual exercised, enjoyed, aided or encouraged any other person in the exercise or enjoyment of any right granted or protected by Section 504 or the ADA.</w:t>
      </w:r>
    </w:p>
    <w:p w:rsidR="00153899" w:rsidRDefault="00153899"/>
    <w:sectPr w:rsidR="00153899" w:rsidSect="009273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0"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C2"/>
    <w:rsid w:val="001439DB"/>
    <w:rsid w:val="00153899"/>
    <w:rsid w:val="00927380"/>
    <w:rsid w:val="0094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C2"/>
    <w:pPr>
      <w:suppressAutoHyphens/>
      <w:jc w:val="both"/>
    </w:pPr>
    <w:rPr>
      <w:rFonts w:ascii="Bookman Old Style" w:eastAsia="SimSun" w:hAnsi="Bookman Old Style" w:cs="Mangal"/>
      <w:kern w:val="1"/>
      <w:sz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List">
    <w:name w:val="Level 1 List"/>
    <w:basedOn w:val="Normal"/>
    <w:rsid w:val="009417C2"/>
    <w:pPr>
      <w:keepNext/>
      <w:tabs>
        <w:tab w:val="left" w:pos="1728"/>
      </w:tabs>
      <w:ind w:left="1728" w:hanging="72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C2"/>
    <w:pPr>
      <w:suppressAutoHyphens/>
      <w:jc w:val="both"/>
    </w:pPr>
    <w:rPr>
      <w:rFonts w:ascii="Bookman Old Style" w:eastAsia="SimSun" w:hAnsi="Bookman Old Style" w:cs="Mangal"/>
      <w:kern w:val="1"/>
      <w:sz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List">
    <w:name w:val="Level 1 List"/>
    <w:basedOn w:val="Normal"/>
    <w:rsid w:val="009417C2"/>
    <w:pPr>
      <w:keepNext/>
      <w:tabs>
        <w:tab w:val="left" w:pos="1728"/>
      </w:tabs>
      <w:ind w:left="1728" w:hanging="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Macintosh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Allisa Hofstee</dc:creator>
  <cp:keywords/>
  <dc:description/>
  <cp:lastModifiedBy>Student</cp:lastModifiedBy>
  <cp:revision>2</cp:revision>
  <dcterms:created xsi:type="dcterms:W3CDTF">2013-11-06T16:35:00Z</dcterms:created>
  <dcterms:modified xsi:type="dcterms:W3CDTF">2013-11-06T16:35:00Z</dcterms:modified>
</cp:coreProperties>
</file>